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0"/>
        <w:jc w:val="right"/>
      </w:pPr>
      <w:r>
        <w:drawing>
          <wp:inline distT="0" distB="0" distL="0" distR="0">
            <wp:extent cx="1257300" cy="742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257300" cy="742950"/>
                    </a:xfrm>
                    <a:prstGeom prst="rect">
                      <a:avLst/>
                    </a:prstGeom>
                  </pic:spPr>
                </pic:pic>
              </a:graphicData>
            </a:graphic>
          </wp:inline>
        </w:drawing>
      </w:r>
    </w:p>
    <w:p>
      <w:pPr>
        <w:spacing w:after="200"/>
      </w:pPr>
      <w:r>
        <w:rPr>
          <w:rFonts w:ascii="IBM Plex Mono" w:cs="IBM Plex Mono" w:eastAsia="IBM Plex Mono" w:hAnsi="IBM Plex Mono"/>
          <w:b/>
          <w:bCs/>
          <w:color w:val="114A35"/>
          <w:spacing w:val="30"/>
          <w:sz w:val="17"/>
          <w:szCs w:val="17"/>
        </w:rPr>
        <w:t xml:space="preserve">OPEN CLIMATE RISK FRAMEWORK  ·  OCRF V1.0  ·  COMPENDIUM</w:t>
      </w:r>
    </w:p>
    <w:p>
      <w:pPr>
        <w:spacing w:after="120"/>
      </w:pPr>
      <w:r>
        <w:rPr>
          <w:rFonts w:ascii="IBM Plex Sans" w:cs="IBM Plex Sans" w:eastAsia="IBM Plex Sans" w:hAnsi="IBM Plex Sans"/>
          <w:b/>
          <w:bCs/>
          <w:color w:val="161A17"/>
          <w:sz w:val="80"/>
          <w:szCs w:val="80"/>
        </w:rPr>
        <w:t xml:space="preserve">The Climate Risk </w:t>
      </w:r>
      <w:r>
        <w:rPr>
          <w:rFonts w:ascii="IBM Plex Sans" w:cs="IBM Plex Sans" w:eastAsia="IBM Plex Sans" w:hAnsi="IBM Plex Sans"/>
          <w:b/>
          <w:bCs/>
          <w:color w:val="1F7A57"/>
          <w:sz w:val="80"/>
          <w:szCs w:val="80"/>
        </w:rPr>
        <w:t xml:space="preserve">Commons</w:t>
      </w:r>
    </w:p>
    <w:p>
      <w:pPr>
        <w:spacing w:after="2000"/>
      </w:pPr>
      <w:r>
        <w:rPr>
          <w:rFonts w:ascii="IBM Plex Sans" w:cs="IBM Plex Sans" w:eastAsia="IBM Plex Sans" w:hAnsi="IBM Plex Sans"/>
          <w:color w:val="363C37"/>
          <w:sz w:val="28"/>
          <w:szCs w:val="28"/>
        </w:rPr>
        <w:t xml:space="preserve">Why we are opening bank-grade climate-risk infrastructure to students, researchers, and the institutions the market forgot.</w:t>
      </w:r>
    </w:p>
    <w:tbl>
      <w:tblPr>
        <w:tblW w:type="dxa" w:w="9360"/>
        <w:tblBorders>
          <w:top w:val="none" w:color="FFFFFF" w:sz="0"/>
          <w:left w:val="single" w:color="1F7A57" w:sz="24"/>
          <w:bottom w:val="none" w:color="FFFFFF" w:sz="0"/>
          <w:right w:val="none" w:color="FFFFFF" w:sz="0"/>
          <w:insideH w:val="none" w:color="FFFFFF" w:sz="0"/>
          <w:insideV w:val="none" w:color="FFFFFF" w:sz="0"/>
        </w:tblBorders>
      </w:tblPr>
      <w:tblGrid>
        <w:gridCol w:w="9360"/>
      </w:tblGrid>
      <w:tr>
        <w:tc>
          <w:tcPr>
            <w:tcW w:type="dxa" w:w="9360"/>
            <w:shd w:fill="EFE9DD" w:val="clear"/>
            <w:tcMar>
              <w:top w:type="dxa" w:w="160"/>
              <w:left w:type="dxa" w:w="220"/>
              <w:bottom w:type="dxa" w:w="160"/>
              <w:right w:type="dxa" w:w="220"/>
            </w:tcMar>
          </w:tcPr>
          <w:p>
            <w:pPr>
              <w:spacing w:line="290"/>
            </w:pPr>
            <w:r>
              <w:rPr>
                <w:rFonts w:ascii="IBM Plex Sans" w:cs="IBM Plex Sans" w:eastAsia="IBM Plex Sans" w:hAnsi="IBM Plex Sans"/>
                <w:b/>
                <w:bCs/>
                <w:color w:val="161A17"/>
                <w:sz w:val="20"/>
                <w:szCs w:val="20"/>
              </w:rPr>
              <w:t xml:space="preserve">Climate financial risk has no Linux. We built it. </w:t>
            </w:r>
            <w:r>
              <w:rPr>
                <w:rFonts w:ascii="IBM Plex Sans" w:cs="IBM Plex Sans" w:eastAsia="IBM Plex Sans" w:hAnsi="IBM Plex Sans"/>
                <w:color w:val="363C37"/>
                <w:sz w:val="20"/>
                <w:szCs w:val="20"/>
              </w:rPr>
              <w:t xml:space="preserve">Climate Risk Commons puts the same enterprise-grade physical climate-risk platform that the world's largest banks use into the hands of any researcher, free for non-commercial work: not only standardized data, but the platform to upload open datasets, run experiments, build new models, and design new damage functions.</w:t>
            </w:r>
          </w:p>
        </w:tc>
      </w:tr>
    </w:tbl>
    <w:p>
      <w:pPr>
        <w:spacing w:after="480"/>
      </w:pPr>
    </w:p>
    <w:p>
      <w:r>
        <w:rPr>
          <w:rFonts w:ascii="IBM Plex Mono" w:cs="IBM Plex Mono" w:eastAsia="IBM Plex Mono" w:hAnsi="IBM Plex Mono"/>
          <w:color w:val="6A716A"/>
          <w:sz w:val="17"/>
          <w:szCs w:val="17"/>
        </w:rPr>
        <w:t xml:space="preserve">A not-for-profit, founded and funded by RiskThinking.AI  ·  riskthinking.org</w:t>
      </w:r>
    </w:p>
    <w:p>
      <w:r>
        <w:br w:type="page"/>
      </w:r>
    </w:p>
    <w:p>
      <w:pPr>
        <w:spacing w:after="80" w:before="360"/>
      </w:pPr>
      <w:r>
        <w:rPr>
          <w:rFonts w:ascii="IBM Plex Mono" w:cs="IBM Plex Mono" w:eastAsia="IBM Plex Mono" w:hAnsi="IBM Plex Mono"/>
          <w:b/>
          <w:bCs/>
          <w:color w:val="114A35"/>
          <w:spacing w:val="30"/>
          <w:sz w:val="16"/>
          <w:szCs w:val="16"/>
        </w:rPr>
        <w:t xml:space="preserve">CONTENTS</w:t>
      </w:r>
    </w:p>
    <w:sdt>
      <w:sdtPr>
        <w:alias w:val="Contents"/>
      </w:sdtPr>
      <w:sdtContent>
        <w:p>
          <w:r>
            <w:fldChar w:fldCharType="begin" w:dirty="true"/>
            <w:instrText xml:space="preserve">TOC \h \o "1-1"</w:instrText>
            <w:fldChar w:fldCharType="separate"/>
          </w:r>
        </w:p>
        <w:p>
          <w:r>
            <w:fldChar w:fldCharType="end"/>
          </w:r>
        </w:p>
      </w:sdtContent>
    </w:sdt>
    <w:p>
      <w:r>
        <w:br w:type="page"/>
      </w:r>
    </w:p>
    <w:p>
      <w:pPr>
        <w:spacing w:after="80" w:before="360"/>
      </w:pPr>
      <w:r>
        <w:rPr>
          <w:rFonts w:ascii="IBM Plex Mono" w:cs="IBM Plex Mono" w:eastAsia="IBM Plex Mono" w:hAnsi="IBM Plex Mono"/>
          <w:b/>
          <w:bCs/>
          <w:color w:val="114A35"/>
          <w:spacing w:val="30"/>
          <w:sz w:val="16"/>
          <w:szCs w:val="16"/>
        </w:rPr>
        <w:t xml:space="preserve">WHY IT MATTERS</w:t>
      </w:r>
    </w:p>
    <w:p>
      <w:pPr>
        <w:pStyle w:val="Heading1"/>
        <w:pBdr>
          <w:bottom w:val="single" w:color="1F7A57" w:sz="12"/>
        </w:pBdr>
        <w:spacing w:after="60" w:before="120"/>
      </w:pPr>
      <w:r>
        <w:rPr>
          <w:rFonts w:ascii="IBM Plex Sans" w:cs="IBM Plex Sans" w:eastAsia="IBM Plex Sans" w:hAnsi="IBM Plex Sans"/>
          <w:b/>
          <w:bCs/>
          <w:color w:val="161A17"/>
          <w:sz w:val="44"/>
          <w:szCs w:val="44"/>
        </w:rPr>
        <w:t xml:space="preserve">Institutions must report numbers they cannot defend</w:t>
      </w:r>
    </w:p>
    <w:p>
      <w:pPr>
        <w:spacing w:after="140" w:line="300"/>
      </w:pPr>
      <w:r>
        <w:rPr>
          <w:rFonts w:ascii="IBM Plex Sans" w:cs="IBM Plex Sans" w:eastAsia="IBM Plex Sans" w:hAnsi="IBM Plex Sans"/>
          <w:b/>
          <w:bCs/>
          <w:color w:val="161A17"/>
          <w:sz w:val="21"/>
          <w:szCs w:val="21"/>
        </w:rPr>
        <w:t xml:space="preserve">The mandate is now both real and prudential. </w:t>
      </w:r>
      <w:r>
        <w:rPr>
          <w:rFonts w:ascii="IBM Plex Sans" w:cs="IBM Plex Sans" w:eastAsia="IBM Plex Sans" w:hAnsi="IBM Plex Sans"/>
          <w:color w:val="363C37"/>
          <w:sz w:val="21"/>
          <w:szCs w:val="21"/>
        </w:rPr>
        <w:t xml:space="preserve">Measuring physical climate risk has shifted from a voluntary exercise to a supervised obligation. IFRS S1 and S2, the CSRD, the EU Taxonomy, TCFD and TNFD have made climate and nature risk a required part of corporate and financial reporting, and prudential supervisors from the EBA to BaFin and FINMA now expect institutions to identify, measure, manage, and monitor physical climate-risk drivers.</w:t>
      </w:r>
    </w:p>
    <w:p>
      <w:pPr>
        <w:spacing w:after="140" w:line="300"/>
      </w:pPr>
      <w:r>
        <w:rPr>
          <w:rFonts w:ascii="IBM Plex Sans" w:cs="IBM Plex Sans" w:eastAsia="IBM Plex Sans" w:hAnsi="IBM Plex Sans"/>
          <w:b/>
          <w:bCs/>
          <w:color w:val="161A17"/>
          <w:sz w:val="21"/>
          <w:szCs w:val="21"/>
        </w:rPr>
        <w:t xml:space="preserve">The harder test is ownership, not reporting. </w:t>
      </w:r>
      <w:r>
        <w:rPr>
          <w:rFonts w:ascii="IBM Plex Sans" w:cs="IBM Plex Sans" w:eastAsia="IBM Plex Sans" w:hAnsi="IBM Plex Sans"/>
          <w:color w:val="363C37"/>
          <w:sz w:val="21"/>
          <w:szCs w:val="21"/>
        </w:rPr>
        <w:t xml:space="preserve">Auditors and supervisors increasingly expect an institution to understand and own the data and models behind a tool, rather than accept a vendor's black box. A closed, proprietary model cannot meet that bar by design.</w:t>
      </w:r>
    </w:p>
    <w:p>
      <w:pPr>
        <w:spacing w:after="140" w:line="300"/>
      </w:pPr>
      <w:r>
        <w:rPr>
          <w:rFonts w:ascii="IBM Plex Sans" w:cs="IBM Plex Sans" w:eastAsia="IBM Plex Sans" w:hAnsi="IBM Plex Sans"/>
          <w:b/>
          <w:bCs/>
          <w:color w:val="161A17"/>
          <w:sz w:val="21"/>
          <w:szCs w:val="21"/>
        </w:rPr>
        <w:t xml:space="preserve">The market is opaque, and the numbers do not agree. </w:t>
      </w:r>
      <w:r>
        <w:rPr>
          <w:rFonts w:ascii="IBM Plex Sans" w:cs="IBM Plex Sans" w:eastAsia="IBM Plex Sans" w:hAnsi="IBM Plex Sans"/>
          <w:color w:val="363C37"/>
          <w:sz w:val="21"/>
          <w:szCs w:val="21"/>
        </w:rPr>
        <w:t xml:space="preserve">Independent reviews of the field, including UNEP FI's Climate Risk Landscape work, keep identifying the same compounding problems: provider methodologies that differ substantially and remain largely opaque, so results cannot be benchmarked.</w:t>
      </w:r>
    </w:p>
    <w:p>
      <w:pPr>
        <w:spacing w:after="140" w:line="300"/>
      </w:pPr>
      <w:r>
        <w:rPr>
          <w:rFonts w:ascii="IBM Plex Sans" w:cs="IBM Plex Sans" w:eastAsia="IBM Plex Sans" w:hAnsi="IBM Plex Sans"/>
          <w:b/>
          <w:bCs/>
          <w:color w:val="161A17"/>
          <w:sz w:val="21"/>
          <w:szCs w:val="21"/>
        </w:rPr>
        <w:t xml:space="preserve">A single vendor manufactures false precision. </w:t>
      </w:r>
      <w:r>
        <w:rPr>
          <w:rFonts w:ascii="IBM Plex Sans" w:cs="IBM Plex Sans" w:eastAsia="IBM Plex Sans" w:hAnsi="IBM Plex Sans"/>
          <w:color w:val="363C37"/>
          <w:sz w:val="21"/>
          <w:szCs w:val="21"/>
        </w:rPr>
        <w:t xml:space="preserve">The same asset, scored by two providers, can yield materially different risk scores. Relying on any one closed vendor produces a false sense of precision, exactly when supervisors are asking institutions to understand model uncertainty rather than look past it.</w:t>
      </w:r>
    </w:p>
    <w:p>
      <w:pPr>
        <w:spacing w:after="140" w:line="300"/>
      </w:pPr>
      <w:r>
        <w:rPr>
          <w:rFonts w:ascii="IBM Plex Sans" w:cs="IBM Plex Sans" w:eastAsia="IBM Plex Sans" w:hAnsi="IBM Plex Sans"/>
          <w:b/>
          <w:bCs/>
          <w:color w:val="161A17"/>
          <w:sz w:val="21"/>
          <w:szCs w:val="21"/>
        </w:rPr>
        <w:t xml:space="preserve">An open standard is the structural cure. </w:t>
      </w:r>
      <w:r>
        <w:rPr>
          <w:rFonts w:ascii="IBM Plex Sans" w:cs="IBM Plex Sans" w:eastAsia="IBM Plex Sans" w:hAnsi="IBM Plex Sans"/>
          <w:color w:val="363C37"/>
          <w:sz w:val="21"/>
          <w:szCs w:val="21"/>
        </w:rPr>
        <w:t xml:space="preserve">Inspectable methodology lets an institution own its models. A shared schema makes results comparable across teams and firms. A stochastic, full-distribution engine makes uncertainty legible. Open, no-cost access reaches the smaller institutions, emerging markets, and researchers the commercial market has priced out.</w:t>
      </w:r>
    </w:p>
    <w:p>
      <w:pPr>
        <w:spacing w:after="140" w:line="300"/>
      </w:pPr>
      <w:r>
        <w:rPr>
          <w:rFonts w:ascii="IBM Plex Sans" w:cs="IBM Plex Sans" w:eastAsia="IBM Plex Sans" w:hAnsi="IBM Plex Sans"/>
          <w:b/>
          <w:bCs/>
          <w:color w:val="161A17"/>
          <w:sz w:val="21"/>
          <w:szCs w:val="21"/>
        </w:rPr>
        <w:t xml:space="preserve">The timing is decisive. </w:t>
      </w:r>
      <w:r>
        <w:rPr>
          <w:rFonts w:ascii="IBM Plex Sans" w:cs="IBM Plex Sans" w:eastAsia="IBM Plex Sans" w:hAnsi="IBM Plex Sans"/>
          <w:color w:val="363C37"/>
          <w:sz w:val="21"/>
          <w:szCs w:val="21"/>
        </w:rPr>
        <w:t xml:space="preserve">Climate science has just moved to CMIP7, replacing CMIP6 whose data stopped at 2014. Climate Risk Commons is among the first production systems to ship on CMIP7, so members start on the current standard rather than last decade's.</w:t>
      </w:r>
    </w:p>
    <w:p>
      <w:r>
        <w:br w:type="page"/>
      </w:r>
    </w:p>
    <w:p>
      <w:pPr>
        <w:spacing w:after="80" w:before="360"/>
      </w:pPr>
      <w:r>
        <w:rPr>
          <w:rFonts w:ascii="IBM Plex Mono" w:cs="IBM Plex Mono" w:eastAsia="IBM Plex Mono" w:hAnsi="IBM Plex Mono"/>
          <w:b/>
          <w:bCs/>
          <w:color w:val="114A35"/>
          <w:spacing w:val="30"/>
          <w:sz w:val="16"/>
          <w:szCs w:val="16"/>
        </w:rPr>
        <w:t xml:space="preserve">WHAT IT IS</w:t>
      </w:r>
    </w:p>
    <w:p>
      <w:pPr>
        <w:pStyle w:val="Heading1"/>
        <w:pBdr>
          <w:bottom w:val="single" w:color="1F7A57" w:sz="12"/>
        </w:pBdr>
        <w:spacing w:after="60" w:before="120"/>
      </w:pPr>
      <w:r>
        <w:rPr>
          <w:rFonts w:ascii="IBM Plex Sans" w:cs="IBM Plex Sans" w:eastAsia="IBM Plex Sans" w:hAnsi="IBM Plex Sans"/>
          <w:b/>
          <w:bCs/>
          <w:color w:val="161A17"/>
          <w:sz w:val="44"/>
          <w:szCs w:val="44"/>
        </w:rPr>
        <w:t xml:space="preserve">An open standard, anchored by two pieces</w:t>
      </w:r>
    </w:p>
    <w:p>
      <w:pPr>
        <w:spacing w:after="140" w:line="300"/>
      </w:pPr>
      <w:r>
        <w:rPr>
          <w:rFonts w:ascii="IBM Plex Sans" w:cs="IBM Plex Sans" w:eastAsia="IBM Plex Sans" w:hAnsi="IBM Plex Sans"/>
          <w:color w:val="363C37"/>
          <w:sz w:val="21"/>
          <w:szCs w:val="21"/>
        </w:rPr>
        <w:t xml:space="preserve">Climate Risk Commons is an open technical standard for physical climate-risk analysis. The Open Climate Risk Framework (OCRF) defines the shared contracts, asset schema, reference pipeline, APIs, SDKs, and tooling that let hazards, assets, and impact functions interoperate. The reference pipeline, Ecofusion, runs the entire specification end to end on a laptop or a cluster using open reference data. Every component is licensed under Apache 2.0, with terms you can hand to your legal office. Through CDTexpress, members reach the full Climate Digital Twin engine behind it: 50+ climate hazards, 241 billion geospatially aligned locations, 193 countries, all IPCC emissions scenarios, and 15 time horizons to 2100.</w:t>
      </w:r>
    </w:p>
    <w:p>
      <w:pPr>
        <w:spacing w:after="140" w:line="300"/>
      </w:pPr>
      <w:r>
        <w:rPr>
          <w:rFonts w:ascii="IBM Plex Sans" w:cs="IBM Plex Sans" w:eastAsia="IBM Plex Sans" w:hAnsi="IBM Plex Sans"/>
          <w:color w:val="363C37"/>
          <w:sz w:val="21"/>
          <w:szCs w:val="21"/>
        </w:rPr>
        <w:t xml:space="preserve">This is Climate 2.0: stochastic, multi-hazard, coherent across hazards and countries, and built for the extreme tail rather than the average case.</w:t>
      </w:r>
    </w:p>
    <w:p>
      <w:pPr>
        <w:pStyle w:val="Heading2"/>
        <w:spacing w:after="80" w:before="240"/>
      </w:pPr>
      <w:r>
        <w:rPr>
          <w:rFonts w:ascii="IBM Plex Sans" w:cs="IBM Plex Sans" w:eastAsia="IBM Plex Sans" w:hAnsi="IBM Plex Sans"/>
          <w:b/>
          <w:bCs/>
          <w:color w:val="161A17"/>
          <w:sz w:val="28"/>
          <w:szCs w:val="28"/>
        </w:rPr>
        <w:t xml:space="preserve">Eight components of membership</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OCRF spec and asset schema. </w:t>
      </w:r>
      <w:r>
        <w:rPr>
          <w:rFonts w:ascii="IBM Plex Sans" w:cs="IBM Plex Sans" w:eastAsia="IBM Plex Sans" w:hAnsi="IBM Plex Sans"/>
          <w:color w:val="363C37"/>
          <w:sz w:val="21"/>
          <w:szCs w:val="21"/>
        </w:rPr>
        <w:t xml:space="preserve">How assets and exposure are encoded, so analyses share a common vocabulary.</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Ecofusion reference pipeline. </w:t>
      </w:r>
      <w:r>
        <w:rPr>
          <w:rFonts w:ascii="IBM Plex Sans" w:cs="IBM Plex Sans" w:eastAsia="IBM Plex Sans" w:hAnsi="IBM Plex Sans"/>
          <w:color w:val="363C37"/>
          <w:sz w:val="21"/>
          <w:szCs w:val="21"/>
        </w:rPr>
        <w:t xml:space="preserve">An end-to-end DataFusion engine that runs on a laptop or a cluster.</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Impact-function library. </w:t>
      </w:r>
      <w:r>
        <w:rPr>
          <w:rFonts w:ascii="IBM Plex Sans" w:cs="IBM Plex Sans" w:eastAsia="IBM Plex Sans" w:hAnsi="IBM Plex Sans"/>
          <w:color w:val="363C37"/>
          <w:sz w:val="21"/>
          <w:szCs w:val="21"/>
        </w:rPr>
        <w:t xml:space="preserve">Validated functions for common asset-hazard pairs.</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SDK and API clients. </w:t>
      </w:r>
      <w:r>
        <w:rPr>
          <w:rFonts w:ascii="IBM Plex Sans" w:cs="IBM Plex Sans" w:eastAsia="IBM Plex Sans" w:hAnsi="IBM Plex Sans"/>
          <w:color w:val="363C37"/>
          <w:sz w:val="21"/>
          <w:szCs w:val="21"/>
        </w:rPr>
        <w:t xml:space="preserve">Permissive Python and R clients as the on-ramp to the standard.</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Sample notebooks. </w:t>
      </w:r>
      <w:r>
        <w:rPr>
          <w:rFonts w:ascii="IBM Plex Sans" w:cs="IBM Plex Sans" w:eastAsia="IBM Plex Sans" w:hAnsi="IBM Plex Sans"/>
          <w:color w:val="363C37"/>
          <w:sz w:val="21"/>
          <w:szCs w:val="21"/>
        </w:rPr>
        <w:t xml:space="preserve">Portfolio analysis, sensitivity testing, and regulatory submissions.</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Conformance test suite. </w:t>
      </w:r>
      <w:r>
        <w:rPr>
          <w:rFonts w:ascii="IBM Plex Sans" w:cs="IBM Plex Sans" w:eastAsia="IBM Plex Sans" w:hAnsi="IBM Plex Sans"/>
          <w:color w:val="363C37"/>
          <w:sz w:val="21"/>
          <w:szCs w:val="21"/>
        </w:rPr>
        <w:t xml:space="preserve">What an implementation must pass to claim conformance, so outputs remain comparable.</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Documentation. </w:t>
      </w:r>
      <w:r>
        <w:rPr>
          <w:rFonts w:ascii="IBM Plex Sans" w:cs="IBM Plex Sans" w:eastAsia="IBM Plex Sans" w:hAnsi="IBM Plex Sans"/>
          <w:color w:val="363C37"/>
          <w:sz w:val="21"/>
          <w:szCs w:val="21"/>
        </w:rPr>
        <w:t xml:space="preserve">Workflows, uncertainty explainers, and regulatory mapping.</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Multi-hazard stress testing. </w:t>
      </w:r>
      <w:r>
        <w:rPr>
          <w:rFonts w:ascii="IBM Plex Sans" w:cs="IBM Plex Sans" w:eastAsia="IBM Plex Sans" w:hAnsi="IBM Plex Sans"/>
          <w:color w:val="363C37"/>
          <w:sz w:val="21"/>
          <w:szCs w:val="21"/>
        </w:rPr>
        <w:t xml:space="preserve">An asset's exposure to several correlated hazards at once.</w:t>
      </w:r>
    </w:p>
    <w:p>
      <w:pPr>
        <w:pStyle w:val="Heading2"/>
        <w:spacing w:after="80" w:before="240"/>
      </w:pPr>
      <w:r>
        <w:rPr>
          <w:rFonts w:ascii="IBM Plex Sans" w:cs="IBM Plex Sans" w:eastAsia="IBM Plex Sans" w:hAnsi="IBM Plex Sans"/>
          <w:b/>
          <w:bCs/>
          <w:color w:val="161A17"/>
          <w:sz w:val="28"/>
          <w:szCs w:val="28"/>
        </w:rPr>
        <w:t xml:space="preserve">What you can build</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See your real exposure. </w:t>
      </w:r>
      <w:r>
        <w:rPr>
          <w:rFonts w:ascii="IBM Plex Sans" w:cs="IBM Plex Sans" w:eastAsia="IBM Plex Sans" w:hAnsi="IBM Plex Sans"/>
          <w:color w:val="363C37"/>
          <w:sz w:val="21"/>
          <w:szCs w:val="21"/>
        </w:rPr>
        <w:t xml:space="preserve">Load asset or loan-book addresses; the twin geolocates them and returns flood, heat, and wildfire exposure for the assets actually held, not a headline figure.</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Stand up a CMIP7 stress test. </w:t>
      </w:r>
      <w:r>
        <w:rPr>
          <w:rFonts w:ascii="IBM Plex Sans" w:cs="IBM Plex Sans" w:eastAsia="IBM Plex Sans" w:hAnsi="IBM Plex Sans"/>
          <w:color w:val="363C37"/>
          <w:sz w:val="21"/>
          <w:szCs w:val="21"/>
        </w:rPr>
        <w:t xml:space="preserve">Run a stochastic, multi-pathway test across thousands of scenarios, in a structure a supervisor can read and an auditor can follow.</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Bring your own data. </w:t>
      </w:r>
      <w:r>
        <w:rPr>
          <w:rFonts w:ascii="IBM Plex Sans" w:cs="IBM Plex Sans" w:eastAsia="IBM Plex Sans" w:hAnsi="IBM Plex Sans"/>
          <w:color w:val="363C37"/>
          <w:sz w:val="21"/>
          <w:szCs w:val="21"/>
        </w:rPr>
        <w:t xml:space="preserve">Load your own datasets, models, and damage functions and still produce a result that compares cleanly with everyone else's.</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Screen a city or development portfolio. </w:t>
      </w:r>
      <w:r>
        <w:rPr>
          <w:rFonts w:ascii="IBM Plex Sans" w:cs="IBM Plex Sans" w:eastAsia="IBM Plex Sans" w:hAnsi="IBM Plex Sans"/>
          <w:color w:val="363C37"/>
          <w:sz w:val="21"/>
          <w:szCs w:val="21"/>
        </w:rPr>
        <w:t xml:space="preserve">Development banks, ministries, and city networks screen assets for priority physical risks and share the method with anyone who needs to use it.</w:t>
      </w:r>
    </w:p>
    <w:p>
      <w:r>
        <w:br w:type="page"/>
      </w:r>
    </w:p>
    <w:p>
      <w:pPr>
        <w:spacing w:after="80" w:before="360"/>
      </w:pPr>
      <w:r>
        <w:rPr>
          <w:rFonts w:ascii="IBM Plex Mono" w:cs="IBM Plex Mono" w:eastAsia="IBM Plex Mono" w:hAnsi="IBM Plex Mono"/>
          <w:b/>
          <w:bCs/>
          <w:color w:val="114A35"/>
          <w:spacing w:val="30"/>
          <w:sz w:val="16"/>
          <w:szCs w:val="16"/>
        </w:rPr>
        <w:t xml:space="preserve">HOW IT WORKS</w:t>
      </w:r>
    </w:p>
    <w:p>
      <w:pPr>
        <w:pStyle w:val="Heading1"/>
        <w:pBdr>
          <w:bottom w:val="single" w:color="1F7A57" w:sz="12"/>
        </w:pBdr>
        <w:spacing w:after="60" w:before="120"/>
      </w:pPr>
      <w:r>
        <w:rPr>
          <w:rFonts w:ascii="IBM Plex Sans" w:cs="IBM Plex Sans" w:eastAsia="IBM Plex Sans" w:hAnsi="IBM Plex Sans"/>
          <w:b/>
          <w:bCs/>
          <w:color w:val="161A17"/>
          <w:sz w:val="44"/>
          <w:szCs w:val="44"/>
        </w:rPr>
        <w:t xml:space="preserve">Three open contracts, one comparable result</w:t>
      </w:r>
    </w:p>
    <w:p>
      <w:pPr>
        <w:spacing w:after="80"/>
      </w:pPr>
    </w:p>
    <w:p>
      <w:pPr>
        <w:spacing w:after="100"/>
        <w:jc w:val="center"/>
      </w:pPr>
      <w:r>
        <w:drawing>
          <wp:inline distT="0" distB="0" distL="0" distR="0">
            <wp:extent cx="5905500" cy="2162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05500" cy="2162175"/>
                    </a:xfrm>
                    <a:prstGeom prst="rect">
                      <a:avLst/>
                    </a:prstGeom>
                  </pic:spPr>
                </pic:pic>
              </a:graphicData>
            </a:graphic>
          </wp:inline>
        </w:drawing>
      </w:r>
    </w:p>
    <w:p>
      <w:pPr>
        <w:spacing w:after="260"/>
        <w:jc w:val="center"/>
      </w:pPr>
      <w:r>
        <w:rPr>
          <w:rFonts w:ascii="IBM Plex Sans" w:cs="IBM Plex Sans" w:eastAsia="IBM Plex Sans" w:hAnsi="IBM Plex Sans"/>
          <w:i/>
          <w:iCs/>
          <w:color w:val="6A716A"/>
          <w:sz w:val="19"/>
          <w:szCs w:val="19"/>
        </w:rPr>
        <w:t xml:space="preserve">Anyone can run the standard end to end on open reference data. Swap in production-grade inputs when a decision depends on it.</w:t>
      </w:r>
    </w:p>
    <w:p>
      <w:pPr>
        <w:spacing w:after="80" w:before="360"/>
      </w:pPr>
      <w:r>
        <w:rPr>
          <w:rFonts w:ascii="IBM Plex Mono" w:cs="IBM Plex Mono" w:eastAsia="IBM Plex Mono" w:hAnsi="IBM Plex Mono"/>
          <w:b/>
          <w:bCs/>
          <w:color w:val="114A35"/>
          <w:spacing w:val="30"/>
          <w:sz w:val="16"/>
          <w:szCs w:val="16"/>
        </w:rPr>
        <w:t xml:space="preserve">WHAT YOU DO NOT GET</w:t>
      </w:r>
    </w:p>
    <w:p>
      <w:pPr>
        <w:pStyle w:val="Heading2"/>
        <w:spacing w:after="80" w:before="240"/>
      </w:pPr>
      <w:r>
        <w:rPr>
          <w:rFonts w:ascii="IBM Plex Sans" w:cs="IBM Plex Sans" w:eastAsia="IBM Plex Sans" w:hAnsi="IBM Plex Sans"/>
          <w:b/>
          <w:bCs/>
          <w:color w:val="161A17"/>
          <w:sz w:val="28"/>
          <w:szCs w:val="28"/>
        </w:rPr>
        <w:t xml:space="preserve">An open standard earns trust by being explicit about its boundaries. Here are ours.</w:t>
      </w:r>
    </w:p>
    <w:p>
      <w:pPr>
        <w:spacing w:after="140" w:line="300"/>
      </w:pPr>
      <w:r>
        <w:rPr>
          <w:rFonts w:ascii="IBM Plex Sans" w:cs="IBM Plex Sans" w:eastAsia="IBM Plex Sans" w:hAnsi="IBM Plex Sans"/>
          <w:b/>
          <w:bCs/>
          <w:color w:val="161A17"/>
          <w:sz w:val="21"/>
          <w:szCs w:val="21"/>
        </w:rPr>
        <w:t xml:space="preserve">Membership provides the engine, not our commercial data. </w:t>
      </w:r>
      <w:r>
        <w:rPr>
          <w:rFonts w:ascii="IBM Plex Sans" w:cs="IBM Plex Sans" w:eastAsia="IBM Plex Sans" w:hAnsi="IBM Plex Sans"/>
          <w:color w:val="363C37"/>
          <w:sz w:val="21"/>
          <w:szCs w:val="21"/>
        </w:rPr>
        <w:t xml:space="preserve">Members receive the full machinery for calculating physical climate risk, together with an environment for storing open-source datasets that can be downloaded directly to power it. Membership does not include RiskThinking.AI's proprietary high-fidelity data. That data is expensive to build and maintain, and it is reserved for paying customers. The commercial revenue it earns is what sustains the open platform.</w:t>
      </w:r>
    </w:p>
    <w:p>
      <w:pPr>
        <w:spacing w:after="140" w:line="300"/>
      </w:pPr>
      <w:r>
        <w:rPr>
          <w:rFonts w:ascii="IBM Plex Sans" w:cs="IBM Plex Sans" w:eastAsia="IBM Plex Sans" w:hAnsi="IBM Plex Sans"/>
          <w:b/>
          <w:bCs/>
          <w:color w:val="161A17"/>
          <w:sz w:val="21"/>
          <w:szCs w:val="21"/>
        </w:rPr>
        <w:t xml:space="preserve">The engine is the same one the largest institutions run. </w:t>
      </w:r>
      <w:r>
        <w:rPr>
          <w:rFonts w:ascii="IBM Plex Sans" w:cs="IBM Plex Sans" w:eastAsia="IBM Plex Sans" w:hAnsi="IBM Plex Sans"/>
          <w:color w:val="363C37"/>
          <w:sz w:val="21"/>
          <w:szCs w:val="21"/>
        </w:rPr>
        <w:t xml:space="preserve">Nothing in the Commons is a demonstration version. Members work with the same engine that powers the world's largest financial institutions, applied to open reference data or to whatever data, models, and damage functions they bring themselves. That makes the Commons an excellent base for developing and testing new, scientifically grounded ideas.</w:t>
      </w:r>
    </w:p>
    <w:p>
      <w:pPr>
        <w:spacing w:after="140" w:line="300"/>
      </w:pPr>
      <w:r>
        <w:rPr>
          <w:rFonts w:ascii="IBM Plex Sans" w:cs="IBM Plex Sans" w:eastAsia="IBM Plex Sans" w:hAnsi="IBM Plex Sans"/>
          <w:b/>
          <w:bCs/>
          <w:color w:val="161A17"/>
          <w:sz w:val="21"/>
          <w:szCs w:val="21"/>
        </w:rPr>
        <w:t xml:space="preserve">The advantage is comparability, not a dataset. </w:t>
      </w:r>
      <w:r>
        <w:rPr>
          <w:rFonts w:ascii="IBM Plex Sans" w:cs="IBM Plex Sans" w:eastAsia="IBM Plex Sans" w:hAnsi="IBM Plex Sans"/>
          <w:color w:val="363C37"/>
          <w:sz w:val="21"/>
          <w:szCs w:val="21"/>
        </w:rPr>
        <w:t xml:space="preserve">The primary advantage researchers gain from the Commons is the ability to share and compare results built on well-developed standards. Two teams using the same schema, the same conformance suite, and the same engine can replicate one another's work and compare findings directly. No single dataset, however good, delivers that. Only a standard does.</w:t>
      </w:r>
    </w:p>
    <w:p>
      <w:pPr>
        <w:spacing w:after="80"/>
      </w:pPr>
    </w:p>
    <w:tbl>
      <w:tblPr>
        <w:tblW w:type="dxa" w:w="9360"/>
        <w:tblBorders>
          <w:top w:val="none" w:color="FFFFFF" w:sz="0"/>
          <w:left w:val="single" w:color="1F7A57" w:sz="24"/>
          <w:bottom w:val="none" w:color="FFFFFF" w:sz="0"/>
          <w:right w:val="none" w:color="FFFFFF" w:sz="0"/>
          <w:insideH w:val="none" w:color="FFFFFF" w:sz="0"/>
          <w:insideV w:val="none" w:color="FFFFFF" w:sz="0"/>
        </w:tblBorders>
      </w:tblPr>
      <w:tblGrid>
        <w:gridCol w:w="9360"/>
      </w:tblGrid>
      <w:tr>
        <w:tc>
          <w:tcPr>
            <w:tcW w:type="dxa" w:w="9360"/>
            <w:shd w:fill="EFE9DD" w:val="clear"/>
            <w:tcMar>
              <w:top w:type="dxa" w:w="160"/>
              <w:left w:type="dxa" w:w="220"/>
              <w:bottom w:type="dxa" w:w="160"/>
              <w:right w:type="dxa" w:w="220"/>
            </w:tcMar>
          </w:tcPr>
          <w:p>
            <w:pPr>
              <w:spacing w:line="290"/>
            </w:pPr>
            <w:r>
              <w:rPr>
                <w:rFonts w:ascii="IBM Plex Sans" w:cs="IBM Plex Sans" w:eastAsia="IBM Plex Sans" w:hAnsi="IBM Plex Sans"/>
                <w:b/>
                <w:bCs/>
                <w:color w:val="161A17"/>
                <w:sz w:val="20"/>
                <w:szCs w:val="20"/>
              </w:rPr>
              <w:t xml:space="preserve">The Commons is a not-for-profit, </w:t>
            </w:r>
            <w:r>
              <w:rPr>
                <w:rFonts w:ascii="IBM Plex Sans" w:cs="IBM Plex Sans" w:eastAsia="IBM Plex Sans" w:hAnsi="IBM Plex Sans"/>
                <w:color w:val="363C37"/>
                <w:sz w:val="20"/>
                <w:szCs w:val="20"/>
              </w:rPr>
              <w:t xml:space="preserve">founded and funded by RiskThinking.AI, using the same standards as the commercial platform. That shared foundation keeps open research and commercial practice interoperable rather than letting them drift apart.</w:t>
            </w:r>
          </w:p>
        </w:tc>
      </w:tr>
    </w:tbl>
    <w:p>
      <w:r>
        <w:br w:type="page"/>
      </w:r>
    </w:p>
    <w:p>
      <w:pPr>
        <w:spacing w:after="80" w:before="360"/>
      </w:pPr>
      <w:r>
        <w:rPr>
          <w:rFonts w:ascii="IBM Plex Mono" w:cs="IBM Plex Mono" w:eastAsia="IBM Plex Mono" w:hAnsi="IBM Plex Mono"/>
          <w:b/>
          <w:bCs/>
          <w:color w:val="114A35"/>
          <w:spacing w:val="30"/>
          <w:sz w:val="16"/>
          <w:szCs w:val="16"/>
        </w:rPr>
        <w:t xml:space="preserve">A MOVEMENT, NOT A RELEASE</w:t>
      </w:r>
    </w:p>
    <w:p>
      <w:pPr>
        <w:pStyle w:val="Heading1"/>
        <w:pBdr>
          <w:bottom w:val="single" w:color="1F7A57" w:sz="12"/>
        </w:pBdr>
        <w:spacing w:after="60" w:before="120"/>
      </w:pPr>
      <w:r>
        <w:rPr>
          <w:rFonts w:ascii="IBM Plex Sans" w:cs="IBM Plex Sans" w:eastAsia="IBM Plex Sans" w:hAnsi="IBM Plex Sans"/>
          <w:b/>
          <w:bCs/>
          <w:color w:val="161A17"/>
          <w:sz w:val="44"/>
          <w:szCs w:val="44"/>
        </w:rPr>
        <w:t xml:space="preserve">Governance built to outlast us</w:t>
      </w:r>
    </w:p>
    <w:p>
      <w:pPr>
        <w:spacing w:after="140" w:line="300"/>
      </w:pPr>
      <w:r>
        <w:rPr>
          <w:rFonts w:ascii="IBM Plex Sans" w:cs="IBM Plex Sans" w:eastAsia="IBM Plex Sans" w:hAnsi="IBM Plex Sans"/>
          <w:b/>
          <w:bCs/>
          <w:color w:val="161A17"/>
          <w:sz w:val="21"/>
          <w:szCs w:val="21"/>
        </w:rPr>
        <w:t xml:space="preserve">Extend the frontier the market has skipped. </w:t>
      </w:r>
      <w:r>
        <w:rPr>
          <w:rFonts w:ascii="IBM Plex Sans" w:cs="IBM Plex Sans" w:eastAsia="IBM Plex Sans" w:hAnsi="IBM Plex Sans"/>
          <w:color w:val="363C37"/>
          <w:sz w:val="21"/>
          <w:szCs w:val="21"/>
        </w:rPr>
        <w:t xml:space="preserve">Commercial vendors cluster around large, listed, global portfolios. The underserved long tail, including agriculture and supply chains, real estate and unlisted assets, single river basins, and specific hazards and geographies, is exactly where researchers work. Building that science on the open standard adds the coverage the market has left out and folds it into a shared, comparable foundation rather than another silo. Researchers are the people who pressure-test a standard, validate it, and extend it into the underserved corners, giving it a legitimacy no single vendor's marketing can buy.</w:t>
      </w:r>
    </w:p>
    <w:p>
      <w:pPr>
        <w:spacing w:after="140" w:line="300"/>
      </w:pPr>
      <w:r>
        <w:rPr>
          <w:rFonts w:ascii="IBM Plex Sans" w:cs="IBM Plex Sans" w:eastAsia="IBM Plex Sans" w:hAnsi="IBM Plex Sans"/>
          <w:b/>
          <w:bCs/>
          <w:color w:val="161A17"/>
          <w:sz w:val="21"/>
          <w:szCs w:val="21"/>
        </w:rPr>
        <w:t xml:space="preserve">Shape something built to outlast any vendor. </w:t>
      </w:r>
      <w:r>
        <w:rPr>
          <w:rFonts w:ascii="IBM Plex Sans" w:cs="IBM Plex Sans" w:eastAsia="IBM Plex Sans" w:hAnsi="IBM Plex Sans"/>
          <w:color w:val="363C37"/>
          <w:sz w:val="21"/>
          <w:szCs w:val="21"/>
        </w:rPr>
        <w:t xml:space="preserve">RiskThinking is the first maintainer of the standard, not its owner. As adoption grows, a neutral foundation follows, so what members build on remains in place in five years. Members retain full freedom to bring their own data, models, and damage functions, while holding their work to a standard the whole community shares.</w:t>
      </w:r>
    </w:p>
    <w:p>
      <w:pPr>
        <w:pStyle w:val="Heading2"/>
        <w:spacing w:after="80" w:before="240"/>
      </w:pPr>
      <w:r>
        <w:rPr>
          <w:rFonts w:ascii="IBM Plex Sans" w:cs="IBM Plex Sans" w:eastAsia="IBM Plex Sans" w:hAnsi="IBM Plex Sans"/>
          <w:b/>
          <w:bCs/>
          <w:color w:val="161A17"/>
          <w:sz w:val="28"/>
          <w:szCs w:val="28"/>
        </w:rPr>
        <w:t xml:space="preserve">Roadmap</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Groundwork. </w:t>
      </w:r>
      <w:r>
        <w:rPr>
          <w:rFonts w:ascii="IBM Plex Sans" w:cs="IBM Plex Sans" w:eastAsia="IBM Plex Sans" w:hAnsi="IBM Plex Sans"/>
          <w:color w:val="363C37"/>
          <w:sz w:val="21"/>
          <w:szCs w:val="21"/>
        </w:rPr>
        <w:t xml:space="preserve">Resolve the patent-rights path, select the licence, prepare the repository, finalize spec v1, and onboard pilot users.</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Ecosystem ignition. </w:t>
      </w:r>
      <w:r>
        <w:rPr>
          <w:rFonts w:ascii="IBM Plex Sans" w:cs="IBM Plex Sans" w:eastAsia="IBM Plex Sans" w:hAnsi="IBM Plex Sans"/>
          <w:color w:val="363C37"/>
          <w:sz w:val="21"/>
          <w:szCs w:val="21"/>
        </w:rPr>
        <w:t xml:space="preserve">Public release of Ecofusion, OCRF, and the schema; the open tier goes live; design partners, including universities and innovation labs, join.</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Standard expansion. </w:t>
      </w:r>
      <w:r>
        <w:rPr>
          <w:rFonts w:ascii="IBM Plex Sans" w:cs="IBM Plex Sans" w:eastAsia="IBM Plex Sans" w:hAnsi="IBM Plex Sans"/>
          <w:color w:val="363C37"/>
          <w:sz w:val="21"/>
          <w:szCs w:val="21"/>
        </w:rPr>
        <w:t xml:space="preserve">Community contributions, academic partners, deeper regulatory engagement, and the transition to a neutral foundation.</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Scale and sustain. </w:t>
      </w:r>
      <w:r>
        <w:rPr>
          <w:rFonts w:ascii="IBM Plex Sans" w:cs="IBM Plex Sans" w:eastAsia="IBM Plex Sans" w:hAnsi="IBM Plex Sans"/>
          <w:color w:val="363C37"/>
          <w:sz w:val="21"/>
          <w:szCs w:val="21"/>
        </w:rPr>
        <w:t xml:space="preserve">Premium data, support, and advanced capabilities sustain the open core, keeping the standard continually improving for everyone building on it.</w:t>
      </w:r>
    </w:p>
    <w:p>
      <w:pPr>
        <w:spacing w:after="80"/>
      </w:pPr>
    </w:p>
    <w:tbl>
      <w:tblPr>
        <w:tblW w:type="dxa" w:w="9360"/>
        <w:tblBorders>
          <w:top w:val="none" w:color="FFFFFF" w:sz="0"/>
          <w:left w:val="single" w:color="C9871F" w:sz="24"/>
          <w:bottom w:val="none" w:color="FFFFFF" w:sz="0"/>
          <w:right w:val="none" w:color="FFFFFF" w:sz="0"/>
          <w:insideH w:val="none" w:color="FFFFFF" w:sz="0"/>
          <w:insideV w:val="none" w:color="FFFFFF" w:sz="0"/>
        </w:tblBorders>
      </w:tblPr>
      <w:tblGrid>
        <w:gridCol w:w="9360"/>
      </w:tblGrid>
      <w:tr>
        <w:tc>
          <w:tcPr>
            <w:tcW w:type="dxa" w:w="9360"/>
            <w:shd w:fill="F8EED6" w:val="clear"/>
            <w:tcMar>
              <w:top w:type="dxa" w:w="160"/>
              <w:left w:type="dxa" w:w="220"/>
              <w:bottom w:type="dxa" w:w="160"/>
              <w:right w:type="dxa" w:w="220"/>
            </w:tcMar>
          </w:tcPr>
          <w:p>
            <w:pPr>
              <w:spacing w:line="290"/>
            </w:pPr>
            <w:r>
              <w:rPr>
                <w:rFonts w:ascii="IBM Plex Sans" w:cs="IBM Plex Sans" w:eastAsia="IBM Plex Sans" w:hAnsi="IBM Plex Sans"/>
                <w:b/>
                <w:bCs/>
                <w:color w:val="161A17"/>
                <w:sz w:val="20"/>
                <w:szCs w:val="20"/>
              </w:rPr>
              <w:t xml:space="preserve">Expect rough edges. </w:t>
            </w:r>
            <w:r>
              <w:rPr>
                <w:rFonts w:ascii="IBM Plex Sans" w:cs="IBM Plex Sans" w:eastAsia="IBM Plex Sans" w:hAnsi="IBM Plex Sans"/>
                <w:color w:val="363C37"/>
                <w:sz w:val="20"/>
                <w:szCs w:val="20"/>
              </w:rPr>
              <w:t xml:space="preserve">Specs, APIs, and data schemas may change during the preview, sometimes with little notice. Availability is a plan, not a promise; the exact order and timing of drops may shift.</w:t>
            </w:r>
          </w:p>
        </w:tc>
      </w:tr>
    </w:tbl>
    <w:p>
      <w:pPr>
        <w:spacing w:after="160"/>
      </w:pPr>
    </w:p>
    <w:p>
      <w:pPr>
        <w:spacing w:after="80" w:before="360"/>
      </w:pPr>
      <w:r>
        <w:rPr>
          <w:rFonts w:ascii="IBM Plex Mono" w:cs="IBM Plex Mono" w:eastAsia="IBM Plex Mono" w:hAnsi="IBM Plex Mono"/>
          <w:b/>
          <w:bCs/>
          <w:color w:val="114A35"/>
          <w:spacing w:val="30"/>
          <w:sz w:val="16"/>
          <w:szCs w:val="16"/>
        </w:rPr>
        <w:t xml:space="preserve">INSTITUTIONS ALREADY ON BOARD</w:t>
      </w:r>
    </w:p>
    <w:p>
      <w:pPr>
        <w:spacing w:after="140" w:line="300"/>
      </w:pPr>
      <w:r>
        <w:rPr>
          <w:rFonts w:ascii="IBM Plex Sans" w:cs="IBM Plex Sans" w:eastAsia="IBM Plex Sans" w:hAnsi="IBM Plex Sans"/>
          <w:color w:val="363C37"/>
          <w:sz w:val="20"/>
          <w:szCs w:val="20"/>
        </w:rPr>
        <w:t xml:space="preserve">The Fields Institute · University of Toronto (Architecture) · University of Toronto (Mathematical Finance) · Tel Aviv University · Durham University (Finance and Management Science) · The Cyprus Academy of Sciences, Letters and Arts · Pacific Institute for Climate Solutions, University of Victoria · Technical University of Munich (CAMBIR) · University of Western Ontario (All Science Faculties) · London School of Economics (doctoral research) · University of Zurich · Queen's University, Smith School of Business, Institute for Sustainable Finance · Central Bank of Brazil · Universidade Federal do Rio Grande do Norte (UFRN) · Stockholm Environment Institute (SEI Latin America) · Twintree.Org · University of British Columbia, Sauder School of Business · University of Duisburg-Essen · Jewish Climate Trust</w:t>
      </w:r>
    </w:p>
    <w:p>
      <w:r>
        <w:br w:type="page"/>
      </w:r>
    </w:p>
    <w:p>
      <w:pPr>
        <w:spacing w:after="80" w:before="360"/>
      </w:pPr>
      <w:r>
        <w:rPr>
          <w:rFonts w:ascii="IBM Plex Mono" w:cs="IBM Plex Mono" w:eastAsia="IBM Plex Mono" w:hAnsi="IBM Plex Mono"/>
          <w:b/>
          <w:bCs/>
          <w:color w:val="114A35"/>
          <w:spacing w:val="30"/>
          <w:sz w:val="16"/>
          <w:szCs w:val="16"/>
        </w:rPr>
        <w:t xml:space="preserve">FREQUENTLY ASKED QUESTIONS</w:t>
      </w:r>
    </w:p>
    <w:p>
      <w:pPr>
        <w:pStyle w:val="Heading1"/>
        <w:pBdr>
          <w:bottom w:val="single" w:color="1F7A57" w:sz="12"/>
        </w:pBdr>
        <w:spacing w:after="60" w:before="120"/>
      </w:pPr>
      <w:r>
        <w:rPr>
          <w:rFonts w:ascii="IBM Plex Sans" w:cs="IBM Plex Sans" w:eastAsia="IBM Plex Sans" w:hAnsi="IBM Plex Sans"/>
          <w:b/>
          <w:bCs/>
          <w:color w:val="161A17"/>
          <w:sz w:val="44"/>
          <w:szCs w:val="44"/>
        </w:rPr>
        <w:t xml:space="preserve">Questions we hear from partners</w:t>
      </w:r>
    </w:p>
    <w:p>
      <w:pPr>
        <w:spacing w:after="60" w:before="220"/>
      </w:pPr>
      <w:r>
        <w:rPr>
          <w:rFonts w:ascii="IBM Plex Mono" w:cs="IBM Plex Mono" w:eastAsia="IBM Plex Mono" w:hAnsi="IBM Plex Mono"/>
          <w:b/>
          <w:bCs/>
          <w:color w:val="1F7A57"/>
          <w:sz w:val="18"/>
          <w:szCs w:val="18"/>
        </w:rPr>
        <w:t xml:space="preserve">01  </w:t>
      </w:r>
      <w:r>
        <w:rPr>
          <w:rFonts w:ascii="IBM Plex Sans" w:cs="IBM Plex Sans" w:eastAsia="IBM Plex Sans" w:hAnsi="IBM Plex Sans"/>
          <w:b/>
          <w:bCs/>
          <w:color w:val="161A17"/>
          <w:sz w:val="23"/>
          <w:szCs w:val="23"/>
        </w:rPr>
        <w:t xml:space="preserve">What is the Climate Risk Commons?</w:t>
      </w:r>
    </w:p>
    <w:p>
      <w:pPr>
        <w:spacing w:after="110" w:line="290"/>
        <w:ind w:left="480"/>
      </w:pPr>
      <w:r>
        <w:rPr>
          <w:rFonts w:ascii="IBM Plex Sans" w:cs="IBM Plex Sans" w:eastAsia="IBM Plex Sans" w:hAnsi="IBM Plex Sans"/>
          <w:color w:val="363C37"/>
          <w:sz w:val="20"/>
          <w:szCs w:val="20"/>
        </w:rPr>
        <w:t xml:space="preserve">An open initiative to give the climate physical-risk field a shared technical foundation. Today, climate-risk analysis is fragmented across data vendors, asset taxonomies, hazard models, impact functions, and reporting workflows: outputs are hard to compare, assumptions are hard to audit, and providers are hard to integrate. The Commons addresses this by publishing an open standard, a reference pipeline, open data, and tooling that anyone can inspect, run, and build on.</w:t>
      </w:r>
    </w:p>
    <w:p>
      <w:pPr>
        <w:spacing w:after="110" w:line="290"/>
        <w:ind w:left="480"/>
      </w:pPr>
      <w:r>
        <w:rPr>
          <w:rFonts w:ascii="IBM Plex Sans" w:cs="IBM Plex Sans" w:eastAsia="IBM Plex Sans" w:hAnsi="IBM Plex Sans"/>
          <w:color w:val="363C37"/>
          <w:sz w:val="20"/>
          <w:szCs w:val="20"/>
        </w:rPr>
        <w:t xml:space="preserve">It is a not-for-profit, founded and funded by RiskThinking.AI, with governance moving to a neutral foundation so the standard outlives any single company's commercial decisions.</w:t>
      </w:r>
    </w:p>
    <w:p>
      <w:pPr>
        <w:spacing w:after="60" w:before="220"/>
      </w:pPr>
      <w:r>
        <w:rPr>
          <w:rFonts w:ascii="IBM Plex Mono" w:cs="IBM Plex Mono" w:eastAsia="IBM Plex Mono" w:hAnsi="IBM Plex Mono"/>
          <w:b/>
          <w:bCs/>
          <w:color w:val="1F7A57"/>
          <w:sz w:val="18"/>
          <w:szCs w:val="18"/>
        </w:rPr>
        <w:t xml:space="preserve">02  </w:t>
      </w:r>
      <w:r>
        <w:rPr>
          <w:rFonts w:ascii="IBM Plex Sans" w:cs="IBM Plex Sans" w:eastAsia="IBM Plex Sans" w:hAnsi="IBM Plex Sans"/>
          <w:b/>
          <w:bCs/>
          <w:color w:val="161A17"/>
          <w:sz w:val="23"/>
          <w:szCs w:val="23"/>
        </w:rPr>
        <w:t xml:space="preserve">What's the difference between the Commons and OCRF?</w:t>
      </w:r>
    </w:p>
    <w:p>
      <w:pPr>
        <w:spacing w:after="110" w:line="290"/>
        <w:ind w:left="480"/>
      </w:pPr>
      <w:r>
        <w:rPr>
          <w:rFonts w:ascii="IBM Plex Sans" w:cs="IBM Plex Sans" w:eastAsia="IBM Plex Sans" w:hAnsi="IBM Plex Sans"/>
          <w:color w:val="363C37"/>
          <w:sz w:val="20"/>
          <w:szCs w:val="20"/>
        </w:rPr>
        <w:t xml:space="preserve">The Climate Risk Commons is the initiative and the ecosystem: the community of partners, the open assets, and the governance that stewards them. The Open Climate Risk Framework (OCRF) is the core technical specification at its heart, defining common contracts for the three inputs to physical-risk analysis: climate hazard data, physical assets, and impact functions. A simple way to say it: the Commons is the community and the home; OCRF is the standard the community builds around.</w:t>
      </w:r>
    </w:p>
    <w:p>
      <w:pPr>
        <w:spacing w:after="60" w:before="220"/>
      </w:pPr>
      <w:r>
        <w:rPr>
          <w:rFonts w:ascii="IBM Plex Mono" w:cs="IBM Plex Mono" w:eastAsia="IBM Plex Mono" w:hAnsi="IBM Plex Mono"/>
          <w:b/>
          <w:bCs/>
          <w:color w:val="1F7A57"/>
          <w:sz w:val="18"/>
          <w:szCs w:val="18"/>
        </w:rPr>
        <w:t xml:space="preserve">03  </w:t>
      </w:r>
      <w:r>
        <w:rPr>
          <w:rFonts w:ascii="IBM Plex Sans" w:cs="IBM Plex Sans" w:eastAsia="IBM Plex Sans" w:hAnsi="IBM Plex Sans"/>
          <w:b/>
          <w:bCs/>
          <w:color w:val="161A17"/>
          <w:sz w:val="23"/>
          <w:szCs w:val="23"/>
        </w:rPr>
        <w:t xml:space="preserve">What's included in the Commons?</w:t>
      </w:r>
    </w:p>
    <w:p>
      <w:pPr>
        <w:spacing w:after="110" w:line="290"/>
        <w:ind w:left="480"/>
      </w:pPr>
      <w:r>
        <w:rPr>
          <w:rFonts w:ascii="IBM Plex Sans" w:cs="IBM Plex Sans" w:eastAsia="IBM Plex Sans" w:hAnsi="IBM Plex Sans"/>
          <w:color w:val="363C37"/>
          <w:sz w:val="20"/>
          <w:szCs w:val="20"/>
        </w:rPr>
        <w:t xml:space="preserve">The open assets, free to inspect, run, and build on: the OCRF specification with input contracts and the output model; Ecofusion, an open reference pipeline implementing OCRF end to end; open reference data to run and validate without a commercial relationship; a starter library of open impact (damage) functions; output APIs and SDKs plus tooling and documentation; and open governance with spec versioning, a published contribution process, and a public roadmap. Production-grade results at scale typically draw on commercial data and functions, from RiskThinking.AI or other conforming providers.</w:t>
      </w:r>
    </w:p>
    <w:p>
      <w:pPr>
        <w:spacing w:after="60" w:before="220"/>
      </w:pPr>
      <w:r>
        <w:rPr>
          <w:rFonts w:ascii="IBM Plex Mono" w:cs="IBM Plex Mono" w:eastAsia="IBM Plex Mono" w:hAnsi="IBM Plex Mono"/>
          <w:b/>
          <w:bCs/>
          <w:color w:val="1F7A57"/>
          <w:sz w:val="18"/>
          <w:szCs w:val="18"/>
        </w:rPr>
        <w:t xml:space="preserve">04  </w:t>
      </w:r>
      <w:r>
        <w:rPr>
          <w:rFonts w:ascii="IBM Plex Sans" w:cs="IBM Plex Sans" w:eastAsia="IBM Plex Sans" w:hAnsi="IBM Plex Sans"/>
          <w:b/>
          <w:bCs/>
          <w:color w:val="161A17"/>
          <w:sz w:val="23"/>
          <w:szCs w:val="23"/>
        </w:rPr>
        <w:t xml:space="preserve">Why use OCRF?</w:t>
      </w:r>
    </w:p>
    <w:p>
      <w:pPr>
        <w:spacing w:after="110" w:line="290"/>
        <w:ind w:left="480"/>
      </w:pPr>
      <w:r>
        <w:rPr>
          <w:rFonts w:ascii="IBM Plex Sans" w:cs="IBM Plex Sans" w:eastAsia="IBM Plex Sans" w:hAnsi="IBM Plex Sans"/>
          <w:color w:val="363C37"/>
          <w:sz w:val="20"/>
          <w:szCs w:val="20"/>
        </w:rPr>
        <w:t xml:space="preserve">Comparability: when hazards, assets, and impact functions conform to the same contracts, results from different vendors, models, and internal teams can be placed side by side and meaningfully compared. Auditability: every assumption is inspectable, and tracing an output through an open pipeline beats black-box scores. No lock-in: open contracts let you swap providers, mix data sources, or bring your own functions without rebuilding your workflow. Lower cost to start: the spec, Ecofusion, reference data, and starter functions are free to run.</w:t>
      </w:r>
    </w:p>
    <w:p>
      <w:pPr>
        <w:spacing w:after="110" w:line="290"/>
        <w:ind w:left="480"/>
      </w:pPr>
      <w:r>
        <w:rPr>
          <w:rFonts w:ascii="IBM Plex Sans" w:cs="IBM Plex Sans" w:eastAsia="IBM Plex Sans" w:hAnsi="IBM Plex Sans"/>
          <w:color w:val="363C37"/>
          <w:sz w:val="20"/>
          <w:szCs w:val="20"/>
        </w:rPr>
        <w:t xml:space="preserve">The pitch in one line: OCRF turns climate physical-risk analysis from incompatible vendor black boxes into an open architecture you can inspect, compare, and own.</w:t>
      </w:r>
    </w:p>
    <w:p>
      <w:pPr>
        <w:spacing w:after="60" w:before="220"/>
      </w:pPr>
      <w:r>
        <w:rPr>
          <w:rFonts w:ascii="IBM Plex Mono" w:cs="IBM Plex Mono" w:eastAsia="IBM Plex Mono" w:hAnsi="IBM Plex Mono"/>
          <w:b/>
          <w:bCs/>
          <w:color w:val="1F7A57"/>
          <w:sz w:val="18"/>
          <w:szCs w:val="18"/>
        </w:rPr>
        <w:t xml:space="preserve">05  </w:t>
      </w:r>
      <w:r>
        <w:rPr>
          <w:rFonts w:ascii="IBM Plex Sans" w:cs="IBM Plex Sans" w:eastAsia="IBM Plex Sans" w:hAnsi="IBM Plex Sans"/>
          <w:b/>
          <w:bCs/>
          <w:color w:val="161A17"/>
          <w:sz w:val="23"/>
          <w:szCs w:val="23"/>
        </w:rPr>
        <w:t xml:space="preserve">What should the ecosystem build?</w:t>
      </w:r>
    </w:p>
    <w:p>
      <w:pPr>
        <w:spacing w:after="110" w:line="290"/>
        <w:ind w:left="480"/>
      </w:pPr>
      <w:r>
        <w:rPr>
          <w:rFonts w:ascii="IBM Plex Sans" w:cs="IBM Plex Sans" w:eastAsia="IBM Plex Sans" w:hAnsi="IBM Plex Sans"/>
          <w:color w:val="363C37"/>
          <w:sz w:val="20"/>
          <w:szCs w:val="20"/>
        </w:rPr>
        <w:t xml:space="preserve">Conforming data products published against the OCRF input contracts, including from providers who compete with RiskThinking.AI; sector-, peril-, and region-specific impact functions, open or commercial; integrations into risk platforms, portfolio systems, GIS tools, reporting workflows, and cloud data platforms; alternative implementations, validation and conformance tooling, and benchmarking suites; research that tests and extends the methods encoded in the spec; and applications for underwriting, lending, asset management, supply chain, infrastructure planning, and regulatory reporting.</w:t>
      </w:r>
    </w:p>
    <w:p>
      <w:pPr>
        <w:spacing w:after="60" w:before="220"/>
      </w:pPr>
      <w:r>
        <w:rPr>
          <w:rFonts w:ascii="IBM Plex Mono" w:cs="IBM Plex Mono" w:eastAsia="IBM Plex Mono" w:hAnsi="IBM Plex Mono"/>
          <w:b/>
          <w:bCs/>
          <w:color w:val="1F7A57"/>
          <w:sz w:val="18"/>
          <w:szCs w:val="18"/>
        </w:rPr>
        <w:t xml:space="preserve">06  </w:t>
      </w:r>
      <w:r>
        <w:rPr>
          <w:rFonts w:ascii="IBM Plex Sans" w:cs="IBM Plex Sans" w:eastAsia="IBM Plex Sans" w:hAnsi="IBM Plex Sans"/>
          <w:b/>
          <w:bCs/>
          <w:color w:val="161A17"/>
          <w:sz w:val="23"/>
          <w:szCs w:val="23"/>
        </w:rPr>
        <w:t xml:space="preserve">What does building in the ecosystem look like?</w:t>
      </w:r>
    </w:p>
    <w:p>
      <w:pPr>
        <w:spacing w:after="110" w:line="290"/>
        <w:ind w:left="480"/>
      </w:pPr>
      <w:r>
        <w:rPr>
          <w:rFonts w:ascii="IBM Plex Sans" w:cs="IBM Plex Sans" w:eastAsia="IBM Plex Sans" w:hAnsi="IBM Plex Sans"/>
          <w:color w:val="363C37"/>
          <w:sz w:val="20"/>
          <w:szCs w:val="20"/>
        </w:rPr>
        <w:t xml:space="preserve">Orient: read the OCRF spec and the three input contracts, clone Ecofusion, and run it end to end on the reference data. Pick your surface: data providers publish against an input contract, modelers contribute or sell impact functions, tool builders consume outputs through the APIs, implementers build specialized pipelines. Build against the contracts, using the reference pipeline and open data as your test harness. Validate conformance, which makes your product plug-compatible with everything else in the ecosystem. Contribute back where it makes sense. Ship and distribute: every OCRF adopter is a prospective user of every conforming component.</w:t>
      </w:r>
    </w:p>
    <w:p>
      <w:pPr>
        <w:spacing w:after="60" w:before="220"/>
      </w:pPr>
      <w:r>
        <w:rPr>
          <w:rFonts w:ascii="IBM Plex Mono" w:cs="IBM Plex Mono" w:eastAsia="IBM Plex Mono" w:hAnsi="IBM Plex Mono"/>
          <w:b/>
          <w:bCs/>
          <w:color w:val="1F7A57"/>
          <w:sz w:val="18"/>
          <w:szCs w:val="18"/>
        </w:rPr>
        <w:t xml:space="preserve">07  </w:t>
      </w:r>
      <w:r>
        <w:rPr>
          <w:rFonts w:ascii="IBM Plex Sans" w:cs="IBM Plex Sans" w:eastAsia="IBM Plex Sans" w:hAnsi="IBM Plex Sans"/>
          <w:b/>
          <w:bCs/>
          <w:color w:val="161A17"/>
          <w:sz w:val="23"/>
          <w:szCs w:val="23"/>
        </w:rPr>
        <w:t xml:space="preserve">How do academics, researchers, and developers benefit?</w:t>
      </w:r>
    </w:p>
    <w:p>
      <w:pPr>
        <w:spacing w:after="110" w:line="290"/>
        <w:ind w:left="480"/>
      </w:pPr>
      <w:r>
        <w:rPr>
          <w:rFonts w:ascii="IBM Plex Sans" w:cs="IBM Plex Sans" w:eastAsia="IBM Plex Sans" w:hAnsi="IBM Plex Sans"/>
          <w:color w:val="363C37"/>
          <w:sz w:val="20"/>
          <w:szCs w:val="20"/>
        </w:rPr>
        <w:t xml:space="preserve">Researchers and academics gain reproducibility by default, since methods published against OCRF re-run by anyone on open data in an open pipeline; a path from paper to practice as contributed methods get adopted by practitioners; shared infrastructure that removes months of setup; and influence on how v1 encodes hazards, exposure, and vulnerability.</w:t>
      </w:r>
    </w:p>
    <w:p>
      <w:pPr>
        <w:spacing w:after="110" w:line="290"/>
        <w:ind w:left="480"/>
      </w:pPr>
      <w:r>
        <w:rPr>
          <w:rFonts w:ascii="IBM Plex Sans" w:cs="IBM Plex Sans" w:eastAsia="IBM Plex Sans" w:hAnsi="IBM Plex Sans"/>
          <w:color w:val="363C37"/>
          <w:sz w:val="20"/>
          <w:szCs w:val="20"/>
        </w:rPr>
        <w:t xml:space="preserve">Developers and implementers gain a stable foundation of open contracts and versioned specs; distribution through the standard, since every adopter is a prospective user; a zero-friction start, with pipeline, sample data, SDKs, and docs free to run; and community visibility with a direct line to the team and a voice in the roadmap.</w:t>
      </w:r>
    </w:p>
    <w:p>
      <w:pPr>
        <w:spacing w:after="60" w:before="220"/>
      </w:pPr>
      <w:r>
        <w:rPr>
          <w:rFonts w:ascii="IBM Plex Mono" w:cs="IBM Plex Mono" w:eastAsia="IBM Plex Mono" w:hAnsi="IBM Plex Mono"/>
          <w:b/>
          <w:bCs/>
          <w:color w:val="1F7A57"/>
          <w:sz w:val="18"/>
          <w:szCs w:val="18"/>
        </w:rPr>
        <w:t xml:space="preserve">08  </w:t>
      </w:r>
      <w:r>
        <w:rPr>
          <w:rFonts w:ascii="IBM Plex Sans" w:cs="IBM Plex Sans" w:eastAsia="IBM Plex Sans" w:hAnsi="IBM Plex Sans"/>
          <w:b/>
          <w:bCs/>
          <w:color w:val="161A17"/>
          <w:sz w:val="23"/>
          <w:szCs w:val="23"/>
        </w:rPr>
        <w:t xml:space="preserve">Do members get RiskThinking.AI's commercial data?</w:t>
      </w:r>
    </w:p>
    <w:p>
      <w:pPr>
        <w:spacing w:after="110" w:line="290"/>
        <w:ind w:left="480"/>
      </w:pPr>
      <w:r>
        <w:rPr>
          <w:rFonts w:ascii="IBM Plex Sans" w:cs="IBM Plex Sans" w:eastAsia="IBM Plex Sans" w:hAnsi="IBM Plex Sans"/>
          <w:color w:val="363C37"/>
          <w:sz w:val="20"/>
          <w:szCs w:val="20"/>
        </w:rPr>
        <w:t xml:space="preserve">No. RiskThinking.AI's high-fidelity data is reserved for paying customers. Members get the machinery for calculating climate risk and an environment stocked with open-source datasets they can easily download to power it. What differs is the data flowing through it, not the machinery doing the work.</w:t>
      </w:r>
    </w:p>
    <w:p>
      <w:pPr>
        <w:spacing w:after="60" w:before="220"/>
      </w:pPr>
      <w:r>
        <w:rPr>
          <w:rFonts w:ascii="IBM Plex Mono" w:cs="IBM Plex Mono" w:eastAsia="IBM Plex Mono" w:hAnsi="IBM Plex Mono"/>
          <w:b/>
          <w:bCs/>
          <w:color w:val="1F7A57"/>
          <w:sz w:val="18"/>
          <w:szCs w:val="18"/>
        </w:rPr>
        <w:t xml:space="preserve">09  </w:t>
      </w:r>
      <w:r>
        <w:rPr>
          <w:rFonts w:ascii="IBM Plex Sans" w:cs="IBM Plex Sans" w:eastAsia="IBM Plex Sans" w:hAnsi="IBM Plex Sans"/>
          <w:b/>
          <w:bCs/>
          <w:color w:val="161A17"/>
          <w:sz w:val="23"/>
          <w:szCs w:val="23"/>
        </w:rPr>
        <w:t xml:space="preserve">Is the engine the same one commercial clients use?</w:t>
      </w:r>
    </w:p>
    <w:p>
      <w:pPr>
        <w:spacing w:after="110" w:line="290"/>
        <w:ind w:left="480"/>
      </w:pPr>
      <w:r>
        <w:rPr>
          <w:rFonts w:ascii="IBM Plex Sans" w:cs="IBM Plex Sans" w:eastAsia="IBM Plex Sans" w:hAnsi="IBM Plex Sans"/>
          <w:color w:val="363C37"/>
          <w:sz w:val="20"/>
          <w:szCs w:val="20"/>
        </w:rPr>
        <w:t xml:space="preserve">Yes. The Commons runs on the same engine that powers the world's largest institutions. Nothing in the Commons is a demonstration version.</w:t>
      </w:r>
    </w:p>
    <w:p>
      <w:pPr>
        <w:spacing w:after="60" w:before="220"/>
      </w:pPr>
      <w:r>
        <w:rPr>
          <w:rFonts w:ascii="IBM Plex Mono" w:cs="IBM Plex Mono" w:eastAsia="IBM Plex Mono" w:hAnsi="IBM Plex Mono"/>
          <w:b/>
          <w:bCs/>
          <w:color w:val="1F7A57"/>
          <w:sz w:val="18"/>
          <w:szCs w:val="18"/>
        </w:rPr>
        <w:t xml:space="preserve">10  </w:t>
      </w:r>
      <w:r>
        <w:rPr>
          <w:rFonts w:ascii="IBM Plex Sans" w:cs="IBM Plex Sans" w:eastAsia="IBM Plex Sans" w:hAnsi="IBM Plex Sans"/>
          <w:b/>
          <w:bCs/>
          <w:color w:val="161A17"/>
          <w:sz w:val="23"/>
          <w:szCs w:val="23"/>
        </w:rPr>
        <w:t xml:space="preserve">What data can members use?</w:t>
      </w:r>
    </w:p>
    <w:p>
      <w:pPr>
        <w:spacing w:after="110" w:line="290"/>
        <w:ind w:left="480"/>
      </w:pPr>
      <w:r>
        <w:rPr>
          <w:rFonts w:ascii="IBM Plex Sans" w:cs="IBM Plex Sans" w:eastAsia="IBM Plex Sans" w:hAnsi="IBM Plex Sans"/>
          <w:color w:val="363C37"/>
          <w:sz w:val="20"/>
          <w:szCs w:val="20"/>
        </w:rPr>
        <w:t xml:space="preserve">The open reference datasets provided within the Commons environment, any open dataset members upload, and any data, models, or damage functions of their own. Results remain conformant with the standard regardless of whose data powers them.</w:t>
      </w:r>
    </w:p>
    <w:p>
      <w:pPr>
        <w:spacing w:after="60" w:before="220"/>
      </w:pPr>
      <w:r>
        <w:rPr>
          <w:rFonts w:ascii="IBM Plex Mono" w:cs="IBM Plex Mono" w:eastAsia="IBM Plex Mono" w:hAnsi="IBM Plex Mono"/>
          <w:b/>
          <w:bCs/>
          <w:color w:val="1F7A57"/>
          <w:sz w:val="18"/>
          <w:szCs w:val="18"/>
        </w:rPr>
        <w:t xml:space="preserve">11  </w:t>
      </w:r>
      <w:r>
        <w:rPr>
          <w:rFonts w:ascii="IBM Plex Sans" w:cs="IBM Plex Sans" w:eastAsia="IBM Plex Sans" w:hAnsi="IBM Plex Sans"/>
          <w:b/>
          <w:bCs/>
          <w:color w:val="161A17"/>
          <w:sz w:val="23"/>
          <w:szCs w:val="23"/>
        </w:rPr>
        <w:t xml:space="preserve">Are results produced on open data scientifically credible?</w:t>
      </w:r>
    </w:p>
    <w:p>
      <w:pPr>
        <w:spacing w:after="110" w:line="290"/>
        <w:ind w:left="480"/>
      </w:pPr>
      <w:r>
        <w:rPr>
          <w:rFonts w:ascii="IBM Plex Sans" w:cs="IBM Plex Sans" w:eastAsia="IBM Plex Sans" w:hAnsi="IBM Plex Sans"/>
          <w:color w:val="363C37"/>
          <w:sz w:val="20"/>
          <w:szCs w:val="20"/>
        </w:rPr>
        <w:t xml:space="preserve">Yes. The engine, schema, and conformance suite are identical to the commercial stack. Precision depends on the resolution of the data used, and members should report that, exactly as good science already requires.</w:t>
      </w:r>
    </w:p>
    <w:p>
      <w:pPr>
        <w:spacing w:after="60" w:before="220"/>
      </w:pPr>
      <w:r>
        <w:rPr>
          <w:rFonts w:ascii="IBM Plex Mono" w:cs="IBM Plex Mono" w:eastAsia="IBM Plex Mono" w:hAnsi="IBM Plex Mono"/>
          <w:b/>
          <w:bCs/>
          <w:color w:val="1F7A57"/>
          <w:sz w:val="18"/>
          <w:szCs w:val="18"/>
        </w:rPr>
        <w:t xml:space="preserve">12  </w:t>
      </w:r>
      <w:r>
        <w:rPr>
          <w:rFonts w:ascii="IBM Plex Sans" w:cs="IBM Plex Sans" w:eastAsia="IBM Plex Sans" w:hAnsi="IBM Plex Sans"/>
          <w:b/>
          <w:bCs/>
          <w:color w:val="161A17"/>
          <w:sz w:val="23"/>
          <w:szCs w:val="23"/>
        </w:rPr>
        <w:t xml:space="preserve">Why open the machinery but not the data?</w:t>
      </w:r>
    </w:p>
    <w:p>
      <w:pPr>
        <w:spacing w:after="110" w:line="290"/>
        <w:ind w:left="480"/>
      </w:pPr>
      <w:r>
        <w:rPr>
          <w:rFonts w:ascii="IBM Plex Sans" w:cs="IBM Plex Sans" w:eastAsia="IBM Plex Sans" w:hAnsi="IBM Plex Sans"/>
          <w:color w:val="363C37"/>
          <w:sz w:val="20"/>
          <w:szCs w:val="20"/>
        </w:rPr>
        <w:t xml:space="preserve">Because the field's structural problem is the absence of a shared standard, not a shortage of datasets. Opening the machinery fixes comparability for everyone. The high-fidelity data is costly to build and maintain, and the commercial revenue it earns is what sustains the open platform.</w:t>
      </w:r>
    </w:p>
    <w:p>
      <w:pPr>
        <w:spacing w:after="60" w:before="220"/>
      </w:pPr>
      <w:r>
        <w:rPr>
          <w:rFonts w:ascii="IBM Plex Mono" w:cs="IBM Plex Mono" w:eastAsia="IBM Plex Mono" w:hAnsi="IBM Plex Mono"/>
          <w:b/>
          <w:bCs/>
          <w:color w:val="1F7A57"/>
          <w:sz w:val="18"/>
          <w:szCs w:val="18"/>
        </w:rPr>
        <w:t xml:space="preserve">13  </w:t>
      </w:r>
      <w:r>
        <w:rPr>
          <w:rFonts w:ascii="IBM Plex Sans" w:cs="IBM Plex Sans" w:eastAsia="IBM Plex Sans" w:hAnsi="IBM Plex Sans"/>
          <w:b/>
          <w:bCs/>
          <w:color w:val="161A17"/>
          <w:sz w:val="23"/>
          <w:szCs w:val="23"/>
        </w:rPr>
        <w:t xml:space="preserve">Who owns and runs the Commons? Can I trust its neutrality?</w:t>
      </w:r>
    </w:p>
    <w:p>
      <w:pPr>
        <w:spacing w:after="110" w:line="290"/>
        <w:ind w:left="480"/>
      </w:pPr>
      <w:r>
        <w:rPr>
          <w:rFonts w:ascii="IBM Plex Sans" w:cs="IBM Plex Sans" w:eastAsia="IBM Plex Sans" w:hAnsi="IBM Plex Sans"/>
          <w:color w:val="363C37"/>
          <w:sz w:val="20"/>
          <w:szCs w:val="20"/>
        </w:rPr>
        <w:t xml:space="preserve">Climate Risk Commons is a not-for-profit, founded and funded by RiskThinking.AI, and it uses the same standards as the commercial platform. Governance is lightweight but real: clear spec versioning, a published contribution process, reference implementations, and a public roadmap. RiskThinking is the standard's first maintainer, not its owner; as adoption grows, a neutral foundation follows. Competing providers are explicitly welcome to conform and contribute.</w:t>
      </w:r>
    </w:p>
    <w:p>
      <w:pPr>
        <w:spacing w:after="60" w:before="220"/>
      </w:pPr>
      <w:r>
        <w:rPr>
          <w:rFonts w:ascii="IBM Plex Mono" w:cs="IBM Plex Mono" w:eastAsia="IBM Plex Mono" w:hAnsi="IBM Plex Mono"/>
          <w:b/>
          <w:bCs/>
          <w:color w:val="1F7A57"/>
          <w:sz w:val="18"/>
          <w:szCs w:val="18"/>
        </w:rPr>
        <w:t xml:space="preserve">14  </w:t>
      </w:r>
      <w:r>
        <w:rPr>
          <w:rFonts w:ascii="IBM Plex Sans" w:cs="IBM Plex Sans" w:eastAsia="IBM Plex Sans" w:hAnsi="IBM Plex Sans"/>
          <w:b/>
          <w:bCs/>
          <w:color w:val="161A17"/>
          <w:sz w:val="23"/>
          <w:szCs w:val="23"/>
        </w:rPr>
        <w:t xml:space="preserve">What if a member later needs high-fidelity data?</w:t>
      </w:r>
    </w:p>
    <w:p>
      <w:pPr>
        <w:spacing w:after="110" w:line="290"/>
        <w:ind w:left="480"/>
      </w:pPr>
      <w:r>
        <w:rPr>
          <w:rFonts w:ascii="IBM Plex Sans" w:cs="IBM Plex Sans" w:eastAsia="IBM Plex Sans" w:hAnsi="IBM Plex Sans"/>
          <w:color w:val="363C37"/>
          <w:sz w:val="20"/>
          <w:szCs w:val="20"/>
        </w:rPr>
        <w:t xml:space="preserve">That is a commercial conversation, and we are happy to have it. Write to academic@riskthinking.ai and we will route it to the right team.</w:t>
      </w:r>
    </w:p>
    <w:p>
      <w:pPr>
        <w:spacing w:after="60" w:before="220"/>
      </w:pPr>
      <w:r>
        <w:rPr>
          <w:rFonts w:ascii="IBM Plex Mono" w:cs="IBM Plex Mono" w:eastAsia="IBM Plex Mono" w:hAnsi="IBM Plex Mono"/>
          <w:b/>
          <w:bCs/>
          <w:color w:val="1F7A57"/>
          <w:sz w:val="18"/>
          <w:szCs w:val="18"/>
        </w:rPr>
        <w:t xml:space="preserve">15  </w:t>
      </w:r>
      <w:r>
        <w:rPr>
          <w:rFonts w:ascii="IBM Plex Sans" w:cs="IBM Plex Sans" w:eastAsia="IBM Plex Sans" w:hAnsi="IBM Plex Sans"/>
          <w:b/>
          <w:bCs/>
          <w:color w:val="161A17"/>
          <w:sz w:val="23"/>
          <w:szCs w:val="23"/>
        </w:rPr>
        <w:t xml:space="preserve">Can membership be used for commercial work?</w:t>
      </w:r>
    </w:p>
    <w:p>
      <w:pPr>
        <w:spacing w:after="110" w:line="290"/>
        <w:ind w:left="480"/>
      </w:pPr>
      <w:r>
        <w:rPr>
          <w:rFonts w:ascii="IBM Plex Sans" w:cs="IBM Plex Sans" w:eastAsia="IBM Plex Sans" w:hAnsi="IBM Plex Sans"/>
          <w:color w:val="363C37"/>
          <w:sz w:val="20"/>
          <w:szCs w:val="20"/>
        </w:rPr>
        <w:t xml:space="preserve">No. Membership is free for non-commercial research only. Commercial use of the platform or of RiskThinking.AI's data requires a commercial licence.</w:t>
      </w:r>
    </w:p>
    <w:p>
      <w:pPr>
        <w:spacing w:after="60" w:before="220"/>
      </w:pPr>
      <w:r>
        <w:rPr>
          <w:rFonts w:ascii="IBM Plex Mono" w:cs="IBM Plex Mono" w:eastAsia="IBM Plex Mono" w:hAnsi="IBM Plex Mono"/>
          <w:b/>
          <w:bCs/>
          <w:color w:val="1F7A57"/>
          <w:sz w:val="18"/>
          <w:szCs w:val="18"/>
        </w:rPr>
        <w:t xml:space="preserve">16  </w:t>
      </w:r>
      <w:r>
        <w:rPr>
          <w:rFonts w:ascii="IBM Plex Sans" w:cs="IBM Plex Sans" w:eastAsia="IBM Plex Sans" w:hAnsi="IBM Plex Sans"/>
          <w:b/>
          <w:bCs/>
          <w:color w:val="161A17"/>
          <w:sz w:val="23"/>
          <w:szCs w:val="23"/>
        </w:rPr>
        <w:t xml:space="preserve">How do I get involved?</w:t>
      </w:r>
    </w:p>
    <w:p>
      <w:pPr>
        <w:spacing w:after="110" w:line="290"/>
        <w:ind w:left="480"/>
      </w:pPr>
      <w:r>
        <w:rPr>
          <w:rFonts w:ascii="IBM Plex Sans" w:cs="IBM Plex Sans" w:eastAsia="IBM Plex Sans" w:hAnsi="IBM Plex Sans"/>
          <w:color w:val="363C37"/>
          <w:sz w:val="20"/>
          <w:szCs w:val="20"/>
        </w:rPr>
        <w:t xml:space="preserve">Join the early access preview: send your GitHub handle and contact email and confirm the early access terms. We'll onboard you to the repositories, the community channel, and the spec. From there, run the reference pipeline on the sample data and tell us what you find: early feedback directly shapes the public v1 release.</w:t>
      </w:r>
    </w:p>
    <w:p>
      <w:r>
        <w:br w:type="page"/>
      </w:r>
    </w:p>
    <w:p>
      <w:pPr>
        <w:spacing w:after="80" w:before="360"/>
      </w:pPr>
      <w:r>
        <w:rPr>
          <w:rFonts w:ascii="IBM Plex Mono" w:cs="IBM Plex Mono" w:eastAsia="IBM Plex Mono" w:hAnsi="IBM Plex Mono"/>
          <w:b/>
          <w:bCs/>
          <w:color w:val="114A35"/>
          <w:spacing w:val="30"/>
          <w:sz w:val="16"/>
          <w:szCs w:val="16"/>
        </w:rPr>
        <w:t xml:space="preserve">HOW TO JOIN</w:t>
      </w:r>
    </w:p>
    <w:p>
      <w:pPr>
        <w:pStyle w:val="Heading1"/>
        <w:pBdr>
          <w:bottom w:val="single" w:color="1F7A57" w:sz="12"/>
        </w:pBdr>
        <w:spacing w:after="60" w:before="120"/>
      </w:pPr>
      <w:r>
        <w:rPr>
          <w:rFonts w:ascii="IBM Plex Sans" w:cs="IBM Plex Sans" w:eastAsia="IBM Plex Sans" w:hAnsi="IBM Plex Sans"/>
          <w:b/>
          <w:bCs/>
          <w:color w:val="161A17"/>
          <w:sz w:val="44"/>
          <w:szCs w:val="44"/>
        </w:rPr>
        <w:t xml:space="preserve">Membership is free for non-commercial research</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Individual researchers </w:t>
      </w:r>
      <w:r>
        <w:rPr>
          <w:rFonts w:ascii="IBM Plex Sans" w:cs="IBM Plex Sans" w:eastAsia="IBM Plex Sans" w:hAnsi="IBM Plex Sans"/>
          <w:color w:val="363C37"/>
          <w:sz w:val="21"/>
          <w:szCs w:val="21"/>
        </w:rPr>
        <w:t xml:space="preserve">request access by writing to academic@riskthinking.ai, with proof of institution and a sentence or two on intended use.</w:t>
      </w:r>
    </w:p>
    <w:p>
      <w:pPr>
        <w:pStyle w:val="ListParagraph"/>
        <w:numPr>
          <w:ilvl w:val="0"/>
          <w:numId w:val="2"/>
        </w:numPr>
        <w:spacing w:after="90" w:line="280"/>
      </w:pPr>
      <w:r>
        <w:rPr>
          <w:rFonts w:ascii="IBM Plex Sans" w:cs="IBM Plex Sans" w:eastAsia="IBM Plex Sans" w:hAnsi="IBM Plex Sans"/>
          <w:b/>
          <w:bCs/>
          <w:color w:val="161A17"/>
          <w:sz w:val="21"/>
          <w:szCs w:val="21"/>
        </w:rPr>
        <w:t xml:space="preserve">Faculties and universities </w:t>
      </w:r>
      <w:r>
        <w:rPr>
          <w:rFonts w:ascii="IBM Plex Sans" w:cs="IBM Plex Sans" w:eastAsia="IBM Plex Sans" w:hAnsi="IBM Plex Sans"/>
          <w:color w:val="363C37"/>
          <w:sz w:val="21"/>
          <w:szCs w:val="21"/>
        </w:rPr>
        <w:t xml:space="preserve">can enrol all their bona fide students, researchers, and faculty at once. A short letter of intent from the institution is enough to formalize it.</w:t>
      </w:r>
    </w:p>
    <w:p>
      <w:pPr>
        <w:spacing w:after="120"/>
      </w:pPr>
    </w:p>
    <w:tbl>
      <w:tblPr>
        <w:tblW w:type="dxa" w:w="9360"/>
        <w:tblBorders>
          <w:top w:val="none" w:color="FFFFFF" w:sz="0"/>
          <w:left w:val="single" w:color="1F7A57" w:sz="24"/>
          <w:bottom w:val="none" w:color="FFFFFF" w:sz="0"/>
          <w:right w:val="none" w:color="FFFFFF" w:sz="0"/>
          <w:insideH w:val="none" w:color="FFFFFF" w:sz="0"/>
          <w:insideV w:val="none" w:color="FFFFFF" w:sz="0"/>
        </w:tblBorders>
      </w:tblPr>
      <w:tblGrid>
        <w:gridCol w:w="9360"/>
      </w:tblGrid>
      <w:tr>
        <w:tc>
          <w:tcPr>
            <w:tcW w:type="dxa" w:w="9360"/>
            <w:shd w:fill="EFE9DD" w:val="clear"/>
            <w:tcMar>
              <w:top w:type="dxa" w:w="160"/>
              <w:left w:type="dxa" w:w="220"/>
              <w:bottom w:type="dxa" w:w="160"/>
              <w:right w:type="dxa" w:w="220"/>
            </w:tcMar>
          </w:tcPr>
          <w:p>
            <w:pPr>
              <w:spacing w:line="290"/>
            </w:pPr>
            <w:r>
              <w:rPr>
                <w:rFonts w:ascii="IBM Plex Sans" w:cs="IBM Plex Sans" w:eastAsia="IBM Plex Sans" w:hAnsi="IBM Plex Sans"/>
                <w:b/>
                <w:bCs/>
                <w:color w:val="161A17"/>
                <w:sz w:val="20"/>
                <w:szCs w:val="20"/>
              </w:rPr>
              <w:t xml:space="preserve">The invitation. </w:t>
            </w:r>
            <w:r>
              <w:rPr>
                <w:rFonts w:ascii="IBM Plex Sans" w:cs="IBM Plex Sans" w:eastAsia="IBM Plex Sans" w:hAnsi="IBM Plex Sans"/>
                <w:color w:val="363C37"/>
                <w:sz w:val="20"/>
                <w:szCs w:val="20"/>
              </w:rPr>
              <w:t xml:space="preserve">Closed competitors are racing to build a wall. We are building a community. It is ready for you to read, run, and build on today. Join the community that evolves this project. Contribute, and gain from the contributions of others.</w:t>
            </w:r>
          </w:p>
        </w:tc>
      </w:tr>
    </w:tbl>
    <w:p>
      <w:pPr>
        <w:spacing w:after="200"/>
      </w:pPr>
    </w:p>
    <w:p>
      <w:r>
        <w:rPr>
          <w:rFonts w:ascii="IBM Plex Mono" w:cs="IBM Plex Mono" w:eastAsia="IBM Plex Mono" w:hAnsi="IBM Plex Mono"/>
          <w:b/>
          <w:bCs/>
          <w:color w:val="114A35"/>
          <w:spacing w:val="30"/>
          <w:sz w:val="20"/>
          <w:szCs w:val="20"/>
        </w:rPr>
        <w:t xml:space="preserve">REQUEST ACCESS   </w:t>
      </w:r>
      <w:r>
        <w:rPr>
          <w:rFonts w:ascii="IBM Plex Mono" w:cs="IBM Plex Mono" w:eastAsia="IBM Plex Mono" w:hAnsi="IBM Plex Mono"/>
          <w:color w:val="161A17"/>
          <w:sz w:val="20"/>
          <w:szCs w:val="20"/>
        </w:rPr>
        <w:t xml:space="preserve">academic@riskthinking.ai</w:t>
      </w:r>
    </w:p>
    <w:p>
      <w:pPr>
        <w:spacing w:before="80"/>
      </w:pPr>
      <w:r>
        <w:rPr>
          <w:rFonts w:ascii="IBM Plex Mono" w:cs="IBM Plex Mono" w:eastAsia="IBM Plex Mono" w:hAnsi="IBM Plex Mono"/>
          <w:b/>
          <w:bCs/>
          <w:color w:val="114A35"/>
          <w:spacing w:val="30"/>
          <w:sz w:val="20"/>
          <w:szCs w:val="20"/>
        </w:rPr>
        <w:t xml:space="preserve">OPEN SOURCE COMMUNITY   </w:t>
      </w:r>
      <w:r>
        <w:rPr>
          <w:rFonts w:ascii="IBM Plex Mono" w:cs="IBM Plex Mono" w:eastAsia="IBM Plex Mono" w:hAnsi="IBM Plex Mono"/>
          <w:color w:val="161A17"/>
          <w:sz w:val="20"/>
          <w:szCs w:val="20"/>
        </w:rPr>
        <w:t xml:space="preserve">opensource@riskthinking.ai</w:t>
      </w:r>
    </w:p>
    <w:p>
      <w:pPr>
        <w:spacing w:before="80"/>
      </w:pPr>
      <w:r>
        <w:rPr>
          <w:rFonts w:ascii="IBM Plex Mono" w:cs="IBM Plex Mono" w:eastAsia="IBM Plex Mono" w:hAnsi="IBM Plex Mono"/>
          <w:b/>
          <w:bCs/>
          <w:color w:val="114A35"/>
          <w:spacing w:val="30"/>
          <w:sz w:val="20"/>
          <w:szCs w:val="20"/>
        </w:rPr>
        <w:t xml:space="preserve">WEB   </w:t>
      </w:r>
      <w:r>
        <w:rPr>
          <w:rFonts w:ascii="IBM Plex Mono" w:cs="IBM Plex Mono" w:eastAsia="IBM Plex Mono" w:hAnsi="IBM Plex Mono"/>
          <w:color w:val="161A17"/>
          <w:sz w:val="20"/>
          <w:szCs w:val="20"/>
        </w:rPr>
        <w:t xml:space="preserve">riskthinking.org</w:t>
      </w:r>
    </w:p>
    <w:p>
      <w:pPr>
        <w:spacing w:after="400"/>
      </w:pPr>
    </w:p>
    <w:p>
      <w:r>
        <w:rPr>
          <w:rFonts w:ascii="IBM Plex Sans" w:cs="IBM Plex Sans" w:eastAsia="IBM Plex Sans" w:hAnsi="IBM Plex Sans"/>
          <w:color w:val="6A716A"/>
          <w:sz w:val="16"/>
          <w:szCs w:val="16"/>
        </w:rPr>
        <w:t xml:space="preserve">© 2026 RiskThinking.AI. All rights reserved. Climate Digital Twin and CDT are trademarks of RiskThinking.AI.</w:t>
      </w:r>
    </w:p>
    <w:sectPr>
      <w:pgSz w:w="11906" w:h="16838" w:orient="portrait"/>
      <w:pgMar w:top="1133" w:right="1133" w:bottom="1247"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rPr>
        <w:color w:val="1F7A5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63C37"/>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591ae3b323ec7d21cddeba56460e75302b50a5d2.png"/><Relationship Id="rId8" Type="http://schemas.openxmlformats.org/officeDocument/2006/relationships/image" Target="media/c94f20f732bcf3677178509fcd955a3560c5d15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2026-08-01T18:36:34.301Z</dcterms:created>
  <dcterms:modified xsi:type="dcterms:W3CDTF">2026-08-01T18:36:34.301Z</dcterms:modified>
</cp:coreProperties>
</file>

<file path=docProps/custom.xml><?xml version="1.0" encoding="utf-8"?>
<Properties xmlns="http://schemas.openxmlformats.org/officeDocument/2006/custom-properties" xmlns:vt="http://schemas.openxmlformats.org/officeDocument/2006/docPropsVTypes"/>
</file>